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25" w:rsidRPr="002B151B" w:rsidRDefault="005C7E25" w:rsidP="0020037A">
      <w:pPr>
        <w:ind w:firstLine="2127"/>
        <w:rPr>
          <w:b/>
        </w:rPr>
      </w:pPr>
      <w:r w:rsidRPr="008D66E3">
        <w:rPr>
          <w:b/>
        </w:rPr>
        <w:t>Decisão</w:t>
      </w:r>
      <w:r w:rsidRPr="00D04023">
        <w:t xml:space="preserve">: </w:t>
      </w:r>
      <w:r w:rsidR="004E688D">
        <w:t xml:space="preserve">Concluindo o julgamento, o Tribunal, por maioria e nos termos do voto, ora reajustado, do Ministro Luiz </w:t>
      </w:r>
      <w:proofErr w:type="spellStart"/>
      <w:r w:rsidR="004E688D">
        <w:t>Fux</w:t>
      </w:r>
      <w:proofErr w:type="spellEnd"/>
      <w:r w:rsidR="004E688D">
        <w:t xml:space="preserve"> (Relator), resolveu a questão de ordem nos seguintes termos: </w:t>
      </w:r>
      <w:r w:rsidR="004E688D">
        <w:rPr>
          <w:b/>
        </w:rPr>
        <w:t xml:space="preserve">1) - </w:t>
      </w:r>
      <w:r w:rsidR="004E688D" w:rsidRPr="002B151B">
        <w:rPr>
          <w:b/>
        </w:rPr>
        <w:t>modular os efeitos para que se dê sobrevida ao regime especial de pagamento de precatórios,</w:t>
      </w:r>
      <w:r w:rsidR="004E688D">
        <w:t xml:space="preserve"> instituído pela Emenda Constitucional nº 62/2009, </w:t>
      </w:r>
      <w:r w:rsidR="004E688D" w:rsidRPr="002B151B">
        <w:rPr>
          <w:b/>
        </w:rPr>
        <w:t xml:space="preserve">por </w:t>
      </w:r>
      <w:proofErr w:type="gramStart"/>
      <w:r w:rsidR="004E688D" w:rsidRPr="002B151B">
        <w:rPr>
          <w:b/>
        </w:rPr>
        <w:t>5</w:t>
      </w:r>
      <w:proofErr w:type="gramEnd"/>
      <w:r w:rsidR="004E688D" w:rsidRPr="002B151B">
        <w:rPr>
          <w:b/>
        </w:rPr>
        <w:t xml:space="preserve"> (cinco) exercícios financeiros a contar de primeiro de janeiro de 2016;</w:t>
      </w:r>
      <w:r w:rsidR="004E688D">
        <w:t xml:space="preserve"> </w:t>
      </w:r>
      <w:r w:rsidR="004E688D">
        <w:rPr>
          <w:b/>
        </w:rPr>
        <w:t>2) -</w:t>
      </w:r>
      <w:r w:rsidR="004E688D">
        <w:t xml:space="preserve"> conferir eficácia prospectiva à declaração de inconstitucionalidade dos seguintes aspectos da </w:t>
      </w:r>
      <w:r w:rsidR="001167DF">
        <w:t>ADI</w:t>
      </w:r>
      <w:r w:rsidR="004E688D">
        <w:t xml:space="preserve">, fixando como marco inicial a data de conclusão do julgamento da presente questão de ordem </w:t>
      </w:r>
      <w:r w:rsidR="004E688D" w:rsidRPr="00E52058">
        <w:t>(25.03.2015)</w:t>
      </w:r>
      <w:r w:rsidR="004E688D">
        <w:t xml:space="preserve"> e mantendo-se válidos os precatórios expedidos ou pagos até esta data, a saber: </w:t>
      </w:r>
      <w:r w:rsidR="004E688D">
        <w:rPr>
          <w:b/>
        </w:rPr>
        <w:t>2.1.)</w:t>
      </w:r>
      <w:r w:rsidR="004E688D">
        <w:t xml:space="preserve"> </w:t>
      </w:r>
      <w:r w:rsidR="004E688D" w:rsidRPr="002B151B">
        <w:rPr>
          <w:b/>
        </w:rPr>
        <w:t>fica mantida a aplicação do índice oficial de remuneração básica da caderneta de poupança (TR), nos termos da Emenda Constitucional nº 62/2009, até 25.03.2015,</w:t>
      </w:r>
      <w:r w:rsidR="004E688D">
        <w:t xml:space="preserve"> </w:t>
      </w:r>
      <w:r w:rsidR="004E688D" w:rsidRPr="002B151B">
        <w:rPr>
          <w:b/>
        </w:rPr>
        <w:t>data após a qual (</w:t>
      </w:r>
      <w:r w:rsidR="004E688D" w:rsidRPr="002B151B">
        <w:rPr>
          <w:b/>
          <w:i/>
        </w:rPr>
        <w:t>i</w:t>
      </w:r>
      <w:r w:rsidR="004E688D" w:rsidRPr="002B151B">
        <w:rPr>
          <w:b/>
        </w:rPr>
        <w:t>) os créditos em precatórios deverão ser corrigidos pelo Índice de Preços ao Consumidor Amplo Especial (IPCA-E)</w:t>
      </w:r>
      <w:r w:rsidR="004E688D">
        <w:t xml:space="preserve"> e (</w:t>
      </w:r>
      <w:r w:rsidR="004E688D">
        <w:rPr>
          <w:b/>
          <w:i/>
        </w:rPr>
        <w:t>ii</w:t>
      </w:r>
      <w:r w:rsidR="004E688D">
        <w:t xml:space="preserve">) </w:t>
      </w:r>
      <w:r w:rsidR="004E688D" w:rsidRPr="002B151B">
        <w:rPr>
          <w:b/>
        </w:rPr>
        <w:t xml:space="preserve">os precatórios tributários deverão observar os mesmos critérios pelos quais a Fazenda Pública corrige seus créditos tributários; e 2.2.) ficam resguardados os precatórios expedidos, no âmbito da administração pública federal, com base nos </w:t>
      </w:r>
      <w:proofErr w:type="spellStart"/>
      <w:r w:rsidR="004E688D" w:rsidRPr="002B151B">
        <w:rPr>
          <w:b/>
        </w:rPr>
        <w:t>arts</w:t>
      </w:r>
      <w:proofErr w:type="spellEnd"/>
      <w:r w:rsidR="004E688D" w:rsidRPr="002B151B">
        <w:rPr>
          <w:b/>
        </w:rPr>
        <w:t xml:space="preserve">. 27 das Leis nº 12.919/13 e Lei nº 13.080/15, que fixam o IPCA-E como índice de correção monetária; </w:t>
      </w:r>
      <w:proofErr w:type="gramStart"/>
      <w:r w:rsidR="004E688D">
        <w:rPr>
          <w:b/>
        </w:rPr>
        <w:t>3</w:t>
      </w:r>
      <w:proofErr w:type="gramEnd"/>
      <w:r w:rsidR="004E688D">
        <w:rPr>
          <w:b/>
        </w:rPr>
        <w:t xml:space="preserve">) - </w:t>
      </w:r>
      <w:r w:rsidR="004E688D">
        <w:t xml:space="preserve">quanto às formas alternativas de pagamento previstas no regime especial: </w:t>
      </w:r>
      <w:r w:rsidR="004E688D">
        <w:rPr>
          <w:b/>
        </w:rPr>
        <w:t>3.1)</w:t>
      </w:r>
      <w:r w:rsidR="004E688D">
        <w:t xml:space="preserve"> consideram-se válidas as compensações, os leilões e os pagamentos à vista por ordem crescente de crédito previstos na Emenda Constitucional nº 62/2009, desde que realizados </w:t>
      </w:r>
      <w:r w:rsidR="004E688D" w:rsidRPr="00E52058">
        <w:t>até 25.03.2015</w:t>
      </w:r>
      <w:r w:rsidR="004E688D">
        <w:t>, data a partir da qual não será possível a quitação de precatórios por tais modalidade</w:t>
      </w:r>
      <w:r w:rsidR="001167DF">
        <w:t>s</w:t>
      </w:r>
      <w:r w:rsidR="004E688D">
        <w:t xml:space="preserve">; </w:t>
      </w:r>
      <w:r w:rsidR="004E688D">
        <w:rPr>
          <w:b/>
        </w:rPr>
        <w:t>3.2)</w:t>
      </w:r>
      <w:r w:rsidR="004E688D">
        <w:t xml:space="preserve"> fica mantida a possibilidade de realização de acordos diretos, observada a ordem de preferência dos credores e de acordo com lei própria da entidade devedora, com redução máxima de 40% do valor do crédito atualizado; </w:t>
      </w:r>
      <w:r w:rsidR="004E688D">
        <w:rPr>
          <w:b/>
        </w:rPr>
        <w:t>4) –</w:t>
      </w:r>
      <w:r w:rsidR="004E688D">
        <w:t xml:space="preserve"> durante o período fixado no item 1 acima, ficam mantidas </w:t>
      </w:r>
      <w:r w:rsidR="004E688D" w:rsidRPr="00E52058">
        <w:t xml:space="preserve">a vinculação de percentuais mínimos </w:t>
      </w:r>
      <w:r w:rsidR="004E688D">
        <w:t xml:space="preserve">da receita corrente líquida ao pagamento dos precatórios (art. 97, § 10, do ADCT), bem como as </w:t>
      </w:r>
      <w:r w:rsidR="004E688D" w:rsidRPr="00E52058">
        <w:t>sanções</w:t>
      </w:r>
      <w:r w:rsidR="004E688D">
        <w:t xml:space="preserve"> para o caso de não liberação tempestiva dos recursos destinados ao pagamento de precatórios (art. 97, § 10, do ADCT); </w:t>
      </w:r>
      <w:r w:rsidR="004E688D">
        <w:rPr>
          <w:b/>
        </w:rPr>
        <w:t>5) –</w:t>
      </w:r>
      <w:r w:rsidR="004E688D">
        <w:t xml:space="preserve"> delegação de competência ao Conselho Nacional de Justiça para que considere a apresentação de proposta normativa que discipline </w:t>
      </w:r>
      <w:r w:rsidR="004E688D">
        <w:rPr>
          <w:b/>
          <w:i/>
        </w:rPr>
        <w:t>(i)</w:t>
      </w:r>
      <w:r w:rsidR="004E688D">
        <w:t xml:space="preserve"> a utilização compulsória de 50% dos recursos da conta de depósitos judiciais tributários para o pagamento de precatórios e </w:t>
      </w:r>
      <w:r w:rsidR="004E688D">
        <w:rPr>
          <w:b/>
          <w:i/>
        </w:rPr>
        <w:t>(ii)</w:t>
      </w:r>
      <w:r w:rsidR="004E688D">
        <w:t xml:space="preserve"> a possibilidade de compensação de precatórios vencidos, próprios ou de terceiros, com o estoque de créditos inscritos em dívida ativa até 25.03.2015, por opção do credor do precatório, e </w:t>
      </w:r>
      <w:r w:rsidR="004E688D">
        <w:rPr>
          <w:b/>
        </w:rPr>
        <w:t>6) –</w:t>
      </w:r>
      <w:r w:rsidR="004E688D">
        <w:t xml:space="preserve"> atribuição de competência ao Conselho Nacional de Justiça para que monitore e supervisione o pagamento dos precatórios pelos entes públicos na forma da presente decisão, vencido o Ministro Marco Aurélio, que não modulava os efeitos da decisão, e, em menor extensão, a Ministra Rosa Weber, que fixava como marco inicial a data do julgamento da ação direta de inconstitucionalidade. Reajustaram seus votos os </w:t>
      </w:r>
      <w:r w:rsidR="004E688D">
        <w:lastRenderedPageBreak/>
        <w:t xml:space="preserve">Ministros Roberto Barroso, Dias </w:t>
      </w:r>
      <w:proofErr w:type="spellStart"/>
      <w:r w:rsidR="004E688D">
        <w:t>Toffoli</w:t>
      </w:r>
      <w:proofErr w:type="spellEnd"/>
      <w:r w:rsidR="004E688D">
        <w:t xml:space="preserve"> e Gilmar Mendes. Presidência do Ministro Ricardo </w:t>
      </w:r>
      <w:proofErr w:type="spellStart"/>
      <w:r w:rsidR="004E688D">
        <w:t>Lewandowski</w:t>
      </w:r>
      <w:proofErr w:type="spellEnd"/>
      <w:r w:rsidR="004E688D">
        <w:t xml:space="preserve">. Plenário, </w:t>
      </w:r>
      <w:r w:rsidR="004E688D" w:rsidRPr="002B151B">
        <w:rPr>
          <w:b/>
        </w:rPr>
        <w:t>25.03.2015.</w:t>
      </w:r>
    </w:p>
    <w:sectPr w:rsidR="005C7E25" w:rsidRPr="002B151B">
      <w:headerReference w:type="even" r:id="rId6"/>
      <w:headerReference w:type="default" r:id="rId7"/>
      <w:footerReference w:type="default" r:id="rId8"/>
      <w:pgSz w:w="11907" w:h="16840" w:code="9"/>
      <w:pgMar w:top="1985" w:right="425" w:bottom="1985" w:left="1559" w:header="720" w:footer="1599" w:gutter="0"/>
      <w:pgNumType w:start="1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FDF" w:rsidRDefault="00463FDF" w:rsidP="00E92430">
      <w:pPr>
        <w:pStyle w:val="Cabealho"/>
      </w:pPr>
      <w:r>
        <w:separator/>
      </w:r>
    </w:p>
  </w:endnote>
  <w:endnote w:type="continuationSeparator" w:id="0">
    <w:p w:rsidR="00463FDF" w:rsidRDefault="00463FDF" w:rsidP="00E92430">
      <w:pPr>
        <w:pStyle w:val="Cabealh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3C" w:rsidRDefault="00756D3C">
    <w:pPr>
      <w:pStyle w:val="Rodap"/>
      <w:tabs>
        <w:tab w:val="clear" w:pos="4320"/>
        <w:tab w:val="clear" w:pos="864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FDF" w:rsidRDefault="00463FDF" w:rsidP="00E92430">
      <w:pPr>
        <w:pStyle w:val="Cabealho"/>
      </w:pPr>
      <w:r>
        <w:separator/>
      </w:r>
    </w:p>
  </w:footnote>
  <w:footnote w:type="continuationSeparator" w:id="0">
    <w:p w:rsidR="00463FDF" w:rsidRDefault="00463FDF" w:rsidP="00E92430">
      <w:pPr>
        <w:pStyle w:val="Cabealh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3C" w:rsidRDefault="00756D3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6D3C" w:rsidRDefault="00756D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3C" w:rsidRDefault="00756D3C">
    <w:pPr>
      <w:pStyle w:val="Cabealho"/>
      <w:tabs>
        <w:tab w:val="clear" w:pos="4320"/>
        <w:tab w:val="clear" w:pos="8640"/>
        <w:tab w:val="center" w:pos="8789"/>
        <w:tab w:val="center" w:pos="8931"/>
      </w:tabs>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
  <w:rsids>
    <w:rsidRoot w:val="004E1E5A"/>
    <w:rsid w:val="001167DF"/>
    <w:rsid w:val="0020037A"/>
    <w:rsid w:val="002B151B"/>
    <w:rsid w:val="00463FDF"/>
    <w:rsid w:val="004E1E5A"/>
    <w:rsid w:val="004E688D"/>
    <w:rsid w:val="005C7E25"/>
    <w:rsid w:val="006B6457"/>
    <w:rsid w:val="00756D3C"/>
    <w:rsid w:val="008D66E3"/>
    <w:rsid w:val="00B82E80"/>
    <w:rsid w:val="00D04023"/>
    <w:rsid w:val="00E3221E"/>
    <w:rsid w:val="00E52058"/>
    <w:rsid w:val="00E924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25"/>
    <w:pPr>
      <w:overflowPunct w:val="0"/>
      <w:autoSpaceDE w:val="0"/>
      <w:autoSpaceDN w:val="0"/>
      <w:adjustRightInd w:val="0"/>
      <w:spacing w:after="0" w:line="240" w:lineRule="auto"/>
      <w:jc w:val="both"/>
    </w:pPr>
    <w:rPr>
      <w:rFonts w:ascii="Courier New" w:hAnsi="Courier New"/>
      <w:sz w:val="24"/>
      <w:szCs w:val="20"/>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1">
    <w:name w:val="t1"/>
    <w:basedOn w:val="Normal"/>
    <w:uiPriority w:val="99"/>
    <w:pPr>
      <w:ind w:left="1560" w:firstLine="1560"/>
      <w:textAlignment w:val="baseline"/>
    </w:pPr>
    <w:rPr>
      <w:i/>
    </w:rPr>
  </w:style>
  <w:style w:type="paragraph" w:customStyle="1" w:styleId="normal1">
    <w:name w:val="normal1"/>
    <w:basedOn w:val="t1"/>
    <w:uiPriority w:val="99"/>
    <w:pPr>
      <w:tabs>
        <w:tab w:val="left" w:pos="1701"/>
      </w:tabs>
      <w:ind w:left="0"/>
    </w:pPr>
    <w:rPr>
      <w:i w:val="0"/>
    </w:rPr>
  </w:style>
  <w:style w:type="paragraph" w:customStyle="1" w:styleId="t2">
    <w:name w:val="t2"/>
    <w:basedOn w:val="t1"/>
    <w:uiPriority w:val="99"/>
    <w:pPr>
      <w:ind w:left="3119"/>
    </w:pPr>
  </w:style>
  <w:style w:type="paragraph" w:customStyle="1" w:styleId="t3">
    <w:name w:val="t3"/>
    <w:basedOn w:val="t2"/>
    <w:uiPriority w:val="99"/>
    <w:pPr>
      <w:ind w:left="4678"/>
    </w:pPr>
  </w:style>
  <w:style w:type="paragraph" w:styleId="Cabealho">
    <w:name w:val="header"/>
    <w:basedOn w:val="Normal"/>
    <w:link w:val="CabealhoChar"/>
    <w:uiPriority w:val="99"/>
    <w:pPr>
      <w:tabs>
        <w:tab w:val="center" w:pos="4320"/>
        <w:tab w:val="right" w:pos="8640"/>
      </w:tabs>
      <w:textAlignment w:val="baseline"/>
    </w:pPr>
  </w:style>
  <w:style w:type="character" w:customStyle="1" w:styleId="CabealhoChar">
    <w:name w:val="Cabeçalho Char"/>
    <w:basedOn w:val="Fontepargpadro"/>
    <w:link w:val="Cabealho"/>
    <w:uiPriority w:val="99"/>
    <w:semiHidden/>
    <w:rPr>
      <w:rFonts w:ascii="Courier New" w:hAnsi="Courier New"/>
      <w:sz w:val="24"/>
      <w:szCs w:val="20"/>
    </w:rPr>
  </w:style>
  <w:style w:type="paragraph" w:styleId="Rodap">
    <w:name w:val="footer"/>
    <w:basedOn w:val="Normal"/>
    <w:link w:val="RodapChar"/>
    <w:uiPriority w:val="99"/>
    <w:pPr>
      <w:tabs>
        <w:tab w:val="center" w:pos="4320"/>
        <w:tab w:val="right" w:pos="8640"/>
      </w:tabs>
      <w:textAlignment w:val="baseline"/>
    </w:pPr>
  </w:style>
  <w:style w:type="character" w:customStyle="1" w:styleId="RodapChar">
    <w:name w:val="Rodapé Char"/>
    <w:basedOn w:val="Fontepargpadro"/>
    <w:link w:val="Rodap"/>
    <w:uiPriority w:val="99"/>
    <w:semiHidden/>
    <w:rPr>
      <w:rFonts w:ascii="Courier New" w:hAnsi="Courier New"/>
      <w:sz w:val="24"/>
      <w:szCs w:val="20"/>
    </w:rPr>
  </w:style>
  <w:style w:type="character" w:styleId="Nmerodepgina">
    <w:name w:val="page number"/>
    <w:basedOn w:val="Fontepargpadro"/>
    <w:uiPriority w:val="99"/>
    <w:rPr>
      <w:rFonts w:cs="Times New Roman"/>
    </w:rPr>
  </w:style>
  <w:style w:type="paragraph" w:customStyle="1" w:styleId="normal2">
    <w:name w:val="normal2"/>
    <w:basedOn w:val="normal1"/>
    <w:uiPriority w:val="99"/>
    <w:pPr>
      <w:ind w:firstLin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odsys\DJ.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Template>
  <TotalTime>2</TotalTime>
  <Pages>2</Pages>
  <Words>504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Lkdf alksd jflkas jdlkfj skladf jlkasd fkla jsldfkçalskdf klas dlfk jaslkdf lasd fkla sldkf jlaksdjçflk asdlkf aklsdf jklas dklfjaslkdf lkas dflasjdlf lkasd fklas dklfjaklsd fkl sadlkf laskd flks adlkf klasdfkl sd</vt:lpstr>
    </vt:vector>
  </TitlesOfParts>
  <Company>MICROTEC-DIGITAL</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Lkdf alksd jflkas jdlkfj skladf jlkasd fkla jsldfkçalskdf klas dlfk jaslkdf lasd fkla sldkf jlaksdjçflk asdlkf aklsdf jklas dklfjaslkdf lkas dflasjdlf lkasd fklas dklfjaklsd fkl sadlkf laskd flks adlkf klasdfkl sd</dc:title>
  <dc:creator>Gisele</dc:creator>
  <cp:lastModifiedBy>padrao</cp:lastModifiedBy>
  <cp:revision>2</cp:revision>
  <cp:lastPrinted>1996-08-16T21:15:00Z</cp:lastPrinted>
  <dcterms:created xsi:type="dcterms:W3CDTF">2015-07-02T13:13:00Z</dcterms:created>
  <dcterms:modified xsi:type="dcterms:W3CDTF">2015-07-02T13:13:00Z</dcterms:modified>
</cp:coreProperties>
</file>